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430-159(A)</w:t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 Care Consultant Agreement</w:t>
      </w:r>
    </w:p>
    <w:p w:rsidR="00000000" w:rsidDel="00000000" w:rsidP="00000000" w:rsidRDefault="00000000" w:rsidRPr="00000000" w14:paraId="00000003">
      <w:pPr>
        <w:pStyle w:val="Heading2"/>
        <w:spacing w:before="0" w:lineRule="auto"/>
        <w:jc w:val="left"/>
        <w:rPr/>
      </w:pPr>
      <w:r w:rsidDel="00000000" w:rsidR="00000000" w:rsidRPr="00000000">
        <w:rPr>
          <w:rtl w:val="0"/>
        </w:rPr>
        <w:t xml:space="preserve">Recreational Camp Information</w:t>
      </w:r>
    </w:p>
    <w:tbl>
      <w:tblPr>
        <w:tblStyle w:val="Table1"/>
        <w:tblW w:w="9360.0" w:type="dxa"/>
        <w:jc w:val="left"/>
        <w:tblInd w:w="0.0" w:type="pct"/>
        <w:tblLayout w:type="fixed"/>
        <w:tblLook w:val="0000"/>
      </w:tblPr>
      <w:tblGrid>
        <w:gridCol w:w="1530"/>
        <w:gridCol w:w="4170"/>
        <w:gridCol w:w="2165"/>
        <w:gridCol w:w="1495"/>
        <w:tblGridChange w:id="0">
          <w:tblGrid>
            <w:gridCol w:w="1530"/>
            <w:gridCol w:w="4170"/>
            <w:gridCol w:w="2165"/>
            <w:gridCol w:w="149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Camp Name: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0.0" w:type="pct"/>
        <w:tblLayout w:type="fixed"/>
        <w:tblLook w:val="0000"/>
      </w:tblPr>
      <w:tblGrid>
        <w:gridCol w:w="1530"/>
        <w:gridCol w:w="6335"/>
        <w:gridCol w:w="1495"/>
        <w:tblGridChange w:id="0">
          <w:tblGrid>
            <w:gridCol w:w="1530"/>
            <w:gridCol w:w="6335"/>
            <w:gridCol w:w="1495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0.0" w:type="pct"/>
        <w:tblLayout w:type="fixed"/>
        <w:tblLook w:val="0000"/>
      </w:tblPr>
      <w:tblGrid>
        <w:gridCol w:w="1530"/>
        <w:gridCol w:w="2847"/>
        <w:gridCol w:w="1574"/>
        <w:gridCol w:w="3409"/>
        <w:tblGridChange w:id="0">
          <w:tblGrid>
            <w:gridCol w:w="1530"/>
            <w:gridCol w:w="2847"/>
            <w:gridCol w:w="1574"/>
            <w:gridCol w:w="3409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           Fax: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0.0" w:type="pct"/>
        <w:tblLayout w:type="fixed"/>
        <w:tblLook w:val="0000"/>
      </w:tblPr>
      <w:tblGrid>
        <w:gridCol w:w="1530"/>
        <w:gridCol w:w="7830"/>
        <w:tblGridChange w:id="0">
          <w:tblGrid>
            <w:gridCol w:w="1530"/>
            <w:gridCol w:w="7830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Email: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spacing w:before="0" w:lineRule="auto"/>
        <w:jc w:val="left"/>
        <w:rPr/>
        <w:sectPr>
          <w:footerReference r:id="rId7" w:type="default"/>
          <w:pgSz w:h="15840" w:w="12240" w:orient="portrait"/>
          <w:pgMar w:bottom="1080" w:top="1080" w:left="1440" w:right="1440" w:header="720" w:footer="432"/>
          <w:pgNumType w:start="1"/>
        </w:sectPr>
      </w:pPr>
      <w:r w:rsidDel="00000000" w:rsidR="00000000" w:rsidRPr="00000000">
        <w:rPr>
          <w:rtl w:val="0"/>
        </w:rPr>
        <w:t xml:space="preserve">Agreement  Information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46.0" w:type="dxa"/>
        <w:jc w:val="left"/>
        <w:tblInd w:w="0.0" w:type="pct"/>
        <w:tblLayout w:type="fixed"/>
        <w:tblLook w:val="0000"/>
      </w:tblPr>
      <w:tblGrid>
        <w:gridCol w:w="9046"/>
        <w:tblGridChange w:id="0">
          <w:tblGrid>
            <w:gridCol w:w="9046"/>
          </w:tblGrid>
        </w:tblGridChange>
      </w:tblGrid>
      <w:tr>
        <w:trPr>
          <w:cantSplit w:val="0"/>
          <w:trHeight w:val="721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The Massachusetts Department of Public Health regulations for recreational camps for children, 105 CMR 430.000, require that all recreational camps for children have a health care consultant. The regulation and responsibilities of this person are described below: </w:t>
            </w:r>
          </w:p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430.159(A) Health Care Consultant: A designated Massachusetts licensed physician, certified nurse practitioner or physician assistant having documented pediatric training, as the camp’s health care consultant. The consultant shall: </w:t>
            </w:r>
          </w:p>
          <w:p w:rsidR="00000000" w:rsidDel="00000000" w:rsidP="00000000" w:rsidRDefault="00000000" w:rsidRPr="00000000" w14:paraId="0000002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1. Assist in the development of the camp’s health care policy as described in 105 CMR 430.159(B); </w:t>
            </w:r>
          </w:p>
          <w:p w:rsidR="00000000" w:rsidDel="00000000" w:rsidP="00000000" w:rsidRDefault="00000000" w:rsidRPr="00000000" w14:paraId="00000025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2. Review and approve the policy initially and at least annually thereafter; </w:t>
            </w:r>
          </w:p>
          <w:p w:rsidR="00000000" w:rsidDel="00000000" w:rsidP="00000000" w:rsidRDefault="00000000" w:rsidRPr="00000000" w14:paraId="00000026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3. Approve any changes in the policy; </w:t>
            </w:r>
          </w:p>
          <w:p w:rsidR="00000000" w:rsidDel="00000000" w:rsidP="00000000" w:rsidRDefault="00000000" w:rsidRPr="00000000" w14:paraId="00000027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4. Review and approve the first aid training of the staff; </w:t>
            </w:r>
          </w:p>
          <w:p w:rsidR="00000000" w:rsidDel="00000000" w:rsidP="00000000" w:rsidRDefault="00000000" w:rsidRPr="00000000" w14:paraId="00000028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5. Be available for consultation at all times; and </w:t>
            </w:r>
          </w:p>
          <w:p w:rsidR="00000000" w:rsidDel="00000000" w:rsidP="00000000" w:rsidRDefault="00000000" w:rsidRPr="00000000" w14:paraId="00000029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6. Develop and sign written orders, including designation of responsibility for prescription medication administration, to be followed by the on-site health care supervisor in the administration of his or her related duties; and</w:t>
            </w:r>
          </w:p>
          <w:p w:rsidR="00000000" w:rsidDel="00000000" w:rsidP="00000000" w:rsidRDefault="00000000" w:rsidRPr="00000000" w14:paraId="0000002A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7. Provide training and tests of competency as required by 105 CMR 430.160 to the health care supervisor and other camp staff. </w:t>
            </w:r>
          </w:p>
          <w:p w:rsidR="00000000" w:rsidDel="00000000" w:rsidP="00000000" w:rsidRDefault="00000000" w:rsidRPr="00000000" w14:paraId="0000002B">
            <w:pPr>
              <w:ind w:left="7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If the health care supervisor is not a licensed health care professional authorized to administer prescription medications, the administration of medications shall be under the professional oversight of the health care consultant. 105 CMR 430.160(C) </w:t>
            </w:r>
          </w:p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430.159(B) Health Care Policy: A written health care policy, approved by the Board of Health and by the camp health care consultant. Such policy shall include, but not be limited to: daily health supervision; infection control; medication storage and administration, including self-administration when appropriate, pursuant to the requirements of 105 CMR 430.160(D); procedures for using insect repellant; conducting tick checks; promoting allergy awareness; handling health emergencies and accidents, including parental/guardian notifications; available ambulance services; provision for medical, nursing and first aid services; the name(s) of the designated on-site camp health care supervisor; the name, address, and phone number of the camp health care consultant required by 105 CMR 430.159(A); and the name of the health care supervisor(s) required by 105 CMR 430.159(E), if applicable. </w:t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430.160(D) Assist in developing the Camp’s Administration of Medication Policy: The health care consultant shall acknowledge in writing a list of all prescription and over-the counter medications administered at the camp, approve circumstances in which a health care supervisor or other employee may administer medication and give approval for campers to self-administer epinephrine or inulin (if appropriate). </w:t>
            </w:r>
          </w:p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430.160(E) The camp’s health care consultant shall train health care supervisors on the signs and symptoms of hypo or hyperglycemia, and appropriate diabetic plan management.</w:t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430.160(G) The camp’s health care consultant shall train health care supervisors, and other camp employees designated to administer an epinephrine auto-injector pursuant to 105 CMR 430.160(D)(3), including content standards and a test of competency developed and approved by the Department; </w:t>
            </w:r>
          </w:p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430.160(H) The health care consultant shall: document the training and evidence of competency of unlicensed personnel designated to assume the responsibility for prescription medication administration; and  provide a training review and informational update at least annually for those camp staff authorized to administer an epinephrine auto-injector pursuant to 105 CMR 430.160(D)(3).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I meet the requirements of the health care consultant as described in 105 CMR 430.159(A).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I have reviewed theses referenced regulations and understand the responsibilities of the position and agree to assist this camp regarding the same.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  <w:sectPr>
          <w:type w:val="continuous"/>
          <w:pgSz w:h="15840" w:w="12240" w:orient="portrait"/>
          <w:pgMar w:bottom="1080" w:top="108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spacing w:before="0" w:lineRule="auto"/>
        <w:jc w:val="left"/>
        <w:rPr/>
      </w:pPr>
      <w:r w:rsidDel="00000000" w:rsidR="00000000" w:rsidRPr="00000000">
        <w:rPr>
          <w:rtl w:val="0"/>
        </w:rPr>
        <w:t xml:space="preserve">Signature</w:t>
      </w:r>
    </w:p>
    <w:tbl>
      <w:tblPr>
        <w:tblStyle w:val="Table6"/>
        <w:tblW w:w="9390.000000000002" w:type="dxa"/>
        <w:jc w:val="left"/>
        <w:tblInd w:w="0.0" w:type="pct"/>
        <w:tblLayout w:type="fixed"/>
        <w:tblLook w:val="0000"/>
      </w:tblPr>
      <w:tblGrid>
        <w:gridCol w:w="1534"/>
        <w:gridCol w:w="4360"/>
        <w:gridCol w:w="1968"/>
        <w:gridCol w:w="11"/>
        <w:gridCol w:w="1500"/>
        <w:gridCol w:w="17"/>
        <w:tblGridChange w:id="0">
          <w:tblGrid>
            <w:gridCol w:w="1534"/>
            <w:gridCol w:w="4360"/>
            <w:gridCol w:w="1968"/>
            <w:gridCol w:w="11"/>
            <w:gridCol w:w="1500"/>
            <w:gridCol w:w="17"/>
          </w:tblGrid>
        </w:tblGridChange>
      </w:tblGrid>
      <w:tr>
        <w:trPr>
          <w:cantSplit w:val="0"/>
          <w:trHeight w:val="248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Print Name/Title: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MA License #: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53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7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Signature /Date: </w:t>
      </w:r>
    </w:p>
    <w:sectPr>
      <w:type w:val="continuous"/>
      <w:pgSz w:h="15840" w:w="12240" w:orient="portrait"/>
      <w:pgMar w:bottom="72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March 2018</w:t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200" w:lineRule="auto"/>
    </w:pPr>
    <w:rPr>
      <w:rFonts w:ascii="Cambria" w:cs="Cambria" w:eastAsia="Cambria" w:hAnsi="Cambria"/>
      <w:b w:val="1"/>
      <w:sz w:val="24"/>
      <w:szCs w:val="24"/>
    </w:rPr>
  </w:style>
  <w:style w:type="paragraph" w:styleId="Heading2">
    <w:name w:val="heading 2"/>
    <w:basedOn w:val="Normal"/>
    <w:next w:val="Normal"/>
    <w:pPr>
      <w:shd w:fill="404040" w:val="clear"/>
      <w:spacing w:before="200" w:lineRule="auto"/>
      <w:jc w:val="center"/>
    </w:pPr>
    <w:rPr>
      <w:rFonts w:ascii="Cambria" w:cs="Cambria" w:eastAsia="Cambria" w:hAnsi="Cambria"/>
      <w:b w:val="1"/>
      <w:color w:val="ffffff"/>
      <w:sz w:val="22"/>
      <w:szCs w:val="22"/>
    </w:rPr>
  </w:style>
  <w:style w:type="paragraph" w:styleId="Heading3">
    <w:name w:val="heading 3"/>
    <w:basedOn w:val="Normal"/>
    <w:next w:val="Normal"/>
    <w:pPr/>
    <w:rPr>
      <w:i w:val="1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F6231"/>
    <w:pPr>
      <w:spacing w:after="0" w:line="240" w:lineRule="auto"/>
    </w:pPr>
    <w:rPr>
      <w:rFonts w:cs="Times New Roman" w:eastAsia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 w:val="1"/>
    <w:rsid w:val="007F6231"/>
    <w:pPr>
      <w:spacing w:after="120" w:before="200"/>
      <w:outlineLvl w:val="0"/>
    </w:pPr>
    <w:rPr>
      <w:rFonts w:asciiTheme="majorHAnsi" w:hAnsiTheme="majorHAnsi"/>
      <w:b w:val="1"/>
      <w:sz w:val="24"/>
    </w:rPr>
  </w:style>
  <w:style w:type="paragraph" w:styleId="Heading2">
    <w:name w:val="heading 2"/>
    <w:basedOn w:val="Normal"/>
    <w:next w:val="Normal"/>
    <w:link w:val="Heading2Char"/>
    <w:qFormat w:val="1"/>
    <w:rsid w:val="007F6231"/>
    <w:pPr>
      <w:shd w:color="auto" w:fill="404040" w:themeFill="text1" w:themeFillTint="0000BF" w:val="clear"/>
      <w:spacing w:before="200"/>
      <w:jc w:val="center"/>
      <w:outlineLvl w:val="1"/>
    </w:pPr>
    <w:rPr>
      <w:rFonts w:asciiTheme="majorHAnsi" w:hAnsiTheme="majorHAnsi"/>
      <w:b w:val="1"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 w:val="1"/>
    <w:rsid w:val="007F6231"/>
    <w:pPr>
      <w:outlineLvl w:val="2"/>
    </w:pPr>
    <w:rPr>
      <w:i w:val="1"/>
      <w:sz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7F6231"/>
    <w:rPr>
      <w:rFonts w:cs="Times New Roman" w:eastAsia="Times New Roman" w:asciiTheme="majorHAnsi" w:hAnsiTheme="majorHAnsi"/>
      <w:b w:val="1"/>
      <w:sz w:val="24"/>
      <w:szCs w:val="24"/>
    </w:rPr>
  </w:style>
  <w:style w:type="character" w:styleId="Heading2Char" w:customStyle="1">
    <w:name w:val="Heading 2 Char"/>
    <w:basedOn w:val="DefaultParagraphFont"/>
    <w:link w:val="Heading2"/>
    <w:rsid w:val="007F6231"/>
    <w:rPr>
      <w:rFonts w:cs="Times New Roman" w:eastAsia="Times New Roman" w:asciiTheme="majorHAnsi" w:hAnsiTheme="majorHAnsi"/>
      <w:b w:val="1"/>
      <w:color w:val="ffffff" w:themeColor="background1"/>
      <w:szCs w:val="24"/>
      <w:shd w:color="auto" w:fill="404040" w:themeFill="text1" w:themeFillTint="0000BF" w:val="clear"/>
    </w:rPr>
  </w:style>
  <w:style w:type="character" w:styleId="Heading3Char" w:customStyle="1">
    <w:name w:val="Heading 3 Char"/>
    <w:basedOn w:val="DefaultParagraphFont"/>
    <w:link w:val="Heading3"/>
    <w:rsid w:val="007F6231"/>
    <w:rPr>
      <w:rFonts w:cs="Times New Roman" w:eastAsia="Times New Roman"/>
      <w:i w:val="1"/>
      <w:sz w:val="16"/>
      <w:szCs w:val="24"/>
    </w:rPr>
  </w:style>
  <w:style w:type="paragraph" w:styleId="FieldText" w:customStyle="1">
    <w:name w:val="Field Text"/>
    <w:basedOn w:val="Normal"/>
    <w:next w:val="Normal"/>
    <w:link w:val="FieldTextChar"/>
    <w:qFormat w:val="1"/>
    <w:rsid w:val="007F6231"/>
    <w:rPr>
      <w:b w:val="1"/>
      <w:szCs w:val="19"/>
    </w:rPr>
  </w:style>
  <w:style w:type="character" w:styleId="FieldTextChar" w:customStyle="1">
    <w:name w:val="Field Text Char"/>
    <w:basedOn w:val="DefaultParagraphFont"/>
    <w:link w:val="FieldText"/>
    <w:rsid w:val="007F6231"/>
    <w:rPr>
      <w:rFonts w:cs="Times New Roman" w:eastAsia="Times New Roman"/>
      <w:b w:val="1"/>
      <w:sz w:val="18"/>
      <w:szCs w:val="19"/>
    </w:rPr>
  </w:style>
  <w:style w:type="paragraph" w:styleId="Header">
    <w:name w:val="header"/>
    <w:basedOn w:val="Normal"/>
    <w:link w:val="HeaderChar"/>
    <w:uiPriority w:val="99"/>
    <w:unhideWhenUsed w:val="1"/>
    <w:rsid w:val="0074520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520D"/>
    <w:rPr>
      <w:rFonts w:cs="Times New Roman" w:eastAsia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74520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520D"/>
    <w:rPr>
      <w:rFonts w:cs="Times New Roman" w:eastAsia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8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85AB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85AB6"/>
    <w:rPr>
      <w:rFonts w:cs="Times New Roman"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B85AB6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B85AB6"/>
    <w:rPr>
      <w:rFonts w:cs="Times New Roman" w:eastAsia="Times New Roman"/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5AB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5AB6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EEICifFsR1SYJUJ88Z7a4NZT0g==">AMUW2mWpvfAff9XWFljLsPQoxEJk9+mmjBVLqUMjkrPj/dEK5QGj3MD81MCKIH+4fktiwq6FQm++C6/hw3WPKHID/rJpWCRX4xwLNYkrAxkYUcfsjgKvOFY=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2018-03-30T19:10:00Z</dcterms:created>
  <dc:creator>Patimalla-Dipali, Bharathi (DPH)</dc:creator>
</cp:coreProperties>
</file>